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D6622" w14:textId="1E34E57F" w:rsidR="003F6B8D" w:rsidRDefault="003F6B8D"/>
    <w:tbl>
      <w:tblPr>
        <w:tblStyle w:val="Deloittetable21"/>
        <w:tblW w:w="14427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922"/>
        <w:gridCol w:w="8505"/>
      </w:tblGrid>
      <w:tr w:rsidR="00856D01" w:rsidRPr="009B0208" w14:paraId="65D19DAD" w14:textId="77777777" w:rsidTr="00884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1C9CD30" w14:textId="5E0EB25C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Špecifický cieľ 5.1.2 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–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Zlepšenie udržateľných vzťahov medzi vidieckymi rozvojovými centrami a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ich zázemím vo verejných službách a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vo verejných infraštruktúrach</w:t>
            </w:r>
          </w:p>
        </w:tc>
      </w:tr>
      <w:tr w:rsidR="00856D01" w:rsidRPr="009B0208" w14:paraId="113ACC4D" w14:textId="77777777" w:rsidTr="00884FC7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359ADDC6" w14:textId="30058E31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Rozvoj základnej infraštruktúry v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oblastiach:</w:t>
            </w:r>
          </w:p>
        </w:tc>
      </w:tr>
      <w:tr w:rsidR="00856D01" w:rsidRPr="009B0208" w14:paraId="2E8FB029" w14:textId="77777777" w:rsidTr="00884FC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17BC5182" w14:textId="602CC6AA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D2. Skvalitnenie a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rozšírenie kapacít predškolských zariadení</w:t>
            </w:r>
          </w:p>
        </w:tc>
      </w:tr>
      <w:tr w:rsidR="00856D01" w:rsidRPr="009B0208" w14:paraId="7C0066FD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5965D6C1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32EC9D5B" w14:textId="30CE51EF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Skvalitnenie a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rozšírenie kapacít predškolských zariadení (materských škôl):</w:t>
            </w:r>
          </w:p>
          <w:p w14:paraId="3A5D6D79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- vybudovanie, rekonštrukcia alebo modernizácia prostredníctvom stavebno-technických úprav materskej školy,</w:t>
            </w:r>
          </w:p>
          <w:p w14:paraId="2D3D8463" w14:textId="762A000F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- materiálno-technické vybavenie </w:t>
            </w:r>
            <w:r w:rsidR="00106314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materskej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školy,</w:t>
            </w:r>
          </w:p>
          <w:p w14:paraId="2C0CA41B" w14:textId="798B57DD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- úpravy areálu materskej školy (detské ihriská, športové zariadenia pre deti  uzavretých aj otvorených areálov s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možnosťou celoročnej prevádzky, záhrad vrátane prvkov inkluzívneho vzdelávania a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pod.);</w:t>
            </w:r>
          </w:p>
        </w:tc>
      </w:tr>
      <w:tr w:rsidR="00856D01" w:rsidRPr="009B0208" w14:paraId="4A609F82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367BE72E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Oprávnené výdavky</w:t>
            </w:r>
          </w:p>
        </w:tc>
      </w:tr>
      <w:tr w:rsidR="00856D01" w:rsidRPr="009B0208" w14:paraId="6FCBB841" w14:textId="77777777" w:rsidTr="00884FC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77D42939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50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213E583C" w14:textId="77777777" w:rsidR="00856D01" w:rsidRPr="009B0208" w:rsidRDefault="00856D01" w:rsidP="00437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9B0208" w14:paraId="3CACA04C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5689A3C" w14:textId="71B6B1EB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013 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–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Softvér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8F1DD1E" w14:textId="3F8F4309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obstaranie softvéru vrátane výdavkov na obstaranie licencií súvisiacich s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používaním softvéru 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–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napr. multilicencie, skupinové licencie, atď. (oprávnený je základný softvér – základné programové vybavenie umožňujúce prácu s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PC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aplikačný softvér/nadstavbový softvér, ktorý užívateľ používa výlučne v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súvislosti so vzdelávacím procesom 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v 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MŠ), </w:t>
            </w:r>
          </w:p>
          <w:p w14:paraId="01BCA257" w14:textId="37BFF148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modernizácia softvéru – napr. upgrade (pridávanie nových funkcionalít zhodnocujúcich softvér)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súvisiacim so vzdelávacím procesom v MŠ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.</w:t>
            </w:r>
          </w:p>
        </w:tc>
      </w:tr>
      <w:tr w:rsidR="00856D01" w:rsidRPr="009B0208" w14:paraId="7755C648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58E6265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261A4EC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realizácia nových objektov MŠ, </w:t>
            </w:r>
          </w:p>
          <w:p w14:paraId="7700983F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rekonštrukcia a modernizácia budov MŠ, </w:t>
            </w:r>
          </w:p>
          <w:p w14:paraId="6CDD90AA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prístavby, nadstavby, stavebné úpravy MŠ, </w:t>
            </w:r>
          </w:p>
          <w:p w14:paraId="0B03AA32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výstavba, rekonštrukcia a modernizácia školskej jedálne, výdajne školskej jedálne vrátane zariadenia, </w:t>
            </w:r>
          </w:p>
          <w:p w14:paraId="26A4EAF3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stavebno-technické úpravy areálu MŠ vrátane detských ihrísk, športových zariadení pre deti – uzavretých aj otvorených s možnosťou celoročnej prevádzky, záhrad vrátane prvkov inkluzívneho vzdelávania, sadové úpravy a zeleň, </w:t>
            </w:r>
          </w:p>
          <w:p w14:paraId="1FD63B41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ako doplnková aktivita k stavebným úpravám budov: rekonštrukcia stavieb so zameraním na zvyšovanie energetickej hospodárnosti budov </w:t>
            </w:r>
          </w:p>
          <w:p w14:paraId="78ABF152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realizácia opatrení na zlepšenie tepelno-technických vlastností konštrukcií, najmä obnova obvodového plášťa, oprava a výmena strešného plášťa vrátane strešnej krytiny, resp. povrchu plochých striech, oprava a výmena výplňových konštrukcií, opravy technického, energetického alebo technologického vybavenia a zariadení objektu, ako aj výmena jeho súčastí (najmä výmena 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lastRenderedPageBreak/>
              <w:t>zdrojov tepla, vykurovacích telies a vnútorných inštalačných rozvodov),</w:t>
            </w:r>
          </w:p>
        </w:tc>
      </w:tr>
      <w:tr w:rsidR="00856D01" w:rsidRPr="009B0208" w14:paraId="72928E4B" w14:textId="77777777" w:rsidTr="00884FC7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0A49CC9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lastRenderedPageBreak/>
              <w:t>022 – Samostatné hnuteľné veci a súbory hnuteľných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61FA2C3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interiérového vybavenia MŠ,</w:t>
            </w:r>
          </w:p>
          <w:p w14:paraId="76B3E136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výpočtovej techniky vrátane príslušenstva (napr. počítačové zostavy, externé disky, tlačiarne, notebooky) bezprostredne súvisiacej s implementáciou projektu,</w:t>
            </w:r>
          </w:p>
          <w:p w14:paraId="6DD3D4AB" w14:textId="760B81A4" w:rsidR="00856D01" w:rsidRPr="009B0208" w:rsidRDefault="00856D01" w:rsidP="00106314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 strojov, prístrojov a zariaden</w:t>
            </w:r>
            <w:r w:rsidR="00106314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prvého zaškolenia obsluhy (ak relevantné) (napr. vybavenie a zariadenie školskej jedálne, výdajne školskej jedálne, a pod.),</w:t>
            </w:r>
          </w:p>
        </w:tc>
      </w:tr>
      <w:tr w:rsidR="00856D01" w:rsidRPr="009B0208" w14:paraId="35F7C4D0" w14:textId="77777777" w:rsidTr="00884FC7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B69BBEB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029  Ostatný dlhodobý hmotný  majetok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25B1D22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interiérového vybavenia MŠ,</w:t>
            </w:r>
          </w:p>
          <w:p w14:paraId="1C797772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výpočtovej techniky vrátane príslušenstva (napr. počítačové zostavy, externé disky, tlačiarne, notebooky) bezprostredne súvisiacej s implementáciou projektu,</w:t>
            </w:r>
          </w:p>
          <w:p w14:paraId="7AE81EF0" w14:textId="32795475" w:rsidR="00856D01" w:rsidRPr="009B0208" w:rsidRDefault="00856D01" w:rsidP="00106314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 strojov, prístrojov a zariaden</w:t>
            </w:r>
            <w:r w:rsidR="00106314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prvého zaškolenia obsluhy (ak relevantné) (napr. vybavenie a zariadenie školskej jedálne, výdajne školskej jedálne, a pod.),</w:t>
            </w:r>
          </w:p>
        </w:tc>
      </w:tr>
    </w:tbl>
    <w:p w14:paraId="37D413F7" w14:textId="77777777" w:rsidR="003F6B8D" w:rsidRPr="009B0208" w:rsidRDefault="003F6B8D" w:rsidP="00856D01">
      <w:pPr>
        <w:rPr>
          <w:rFonts w:asciiTheme="minorHAnsi" w:hAnsiTheme="minorHAnsi" w:cstheme="minorHAnsi"/>
          <w:b/>
          <w:sz w:val="24"/>
        </w:rPr>
      </w:pPr>
    </w:p>
    <w:p w14:paraId="45BDE793" w14:textId="77777777" w:rsidR="00856D01" w:rsidRPr="009B0208" w:rsidRDefault="00856D01" w:rsidP="004B5802">
      <w:pPr>
        <w:rPr>
          <w:rFonts w:asciiTheme="minorHAnsi" w:hAnsiTheme="minorHAnsi" w:cstheme="minorHAnsi"/>
          <w:i/>
          <w:highlight w:val="yellow"/>
        </w:rPr>
      </w:pPr>
    </w:p>
    <w:sectPr w:rsidR="00856D01" w:rsidRPr="009B0208" w:rsidSect="00114544">
      <w:headerReference w:type="first" r:id="rId8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D2F18" w14:textId="77777777" w:rsidR="00541709" w:rsidRDefault="00541709" w:rsidP="007900C1">
      <w:r>
        <w:separator/>
      </w:r>
    </w:p>
  </w:endnote>
  <w:endnote w:type="continuationSeparator" w:id="0">
    <w:p w14:paraId="5874C688" w14:textId="77777777" w:rsidR="00541709" w:rsidRDefault="00541709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71C89" w14:textId="77777777" w:rsidR="00541709" w:rsidRDefault="00541709" w:rsidP="007900C1">
      <w:r>
        <w:separator/>
      </w:r>
    </w:p>
  </w:footnote>
  <w:footnote w:type="continuationSeparator" w:id="0">
    <w:p w14:paraId="661C0D14" w14:textId="77777777" w:rsidR="00541709" w:rsidRDefault="00541709" w:rsidP="00790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18979" w14:textId="3DFE1840" w:rsidR="00A76425" w:rsidRPr="001B5DCB" w:rsidRDefault="00910729" w:rsidP="00437D96">
    <w:pPr>
      <w:pStyle w:val="Hlavika"/>
      <w:tabs>
        <w:tab w:val="right" w:pos="14004"/>
      </w:tabs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1312" behindDoc="1" locked="0" layoutInCell="1" allowOverlap="1" wp14:anchorId="2EF8803B" wp14:editId="53CB37B6">
          <wp:simplePos x="0" y="0"/>
          <wp:positionH relativeFrom="column">
            <wp:posOffset>6400800</wp:posOffset>
          </wp:positionH>
          <wp:positionV relativeFrom="paragraph">
            <wp:posOffset>380365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0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9264" behindDoc="1" locked="0" layoutInCell="1" allowOverlap="1" wp14:anchorId="75283593" wp14:editId="5F220538">
          <wp:simplePos x="0" y="0"/>
          <wp:positionH relativeFrom="column">
            <wp:posOffset>2195830</wp:posOffset>
          </wp:positionH>
          <wp:positionV relativeFrom="paragraph">
            <wp:posOffset>293370</wp:posOffset>
          </wp:positionV>
          <wp:extent cx="762000" cy="585470"/>
          <wp:effectExtent l="0" t="0" r="0" b="5080"/>
          <wp:wrapTight wrapText="bothSides">
            <wp:wrapPolygon edited="0">
              <wp:start x="2700" y="0"/>
              <wp:lineTo x="2700" y="11245"/>
              <wp:lineTo x="0" y="15462"/>
              <wp:lineTo x="0" y="19679"/>
              <wp:lineTo x="5400" y="21085"/>
              <wp:lineTo x="15660" y="21085"/>
              <wp:lineTo x="21060" y="18273"/>
              <wp:lineTo x="21060" y="15462"/>
              <wp:lineTo x="18360" y="11245"/>
              <wp:lineTo x="18360" y="0"/>
              <wp:lineTo x="2700" y="0"/>
            </wp:wrapPolygon>
          </wp:wrapTight>
          <wp:docPr id="1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  <w:sz w:val="20"/>
      </w:rPr>
      <w:drawing>
        <wp:inline distT="0" distB="0" distL="0" distR="0" wp14:anchorId="7F9FEA76" wp14:editId="76C62F3C">
          <wp:extent cx="876300" cy="78105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MAS_BIELA_ORAVA_smal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7" cy="781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01F85B00" wp14:editId="2FC7BB95">
          <wp:extent cx="1971675" cy="914400"/>
          <wp:effectExtent l="0" t="0" r="9525" b="0"/>
          <wp:docPr id="6" name="Grafický 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cký objekt 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A5B92"/>
    <w:rsid w:val="000B25BD"/>
    <w:rsid w:val="000E52FF"/>
    <w:rsid w:val="00106314"/>
    <w:rsid w:val="00113C2C"/>
    <w:rsid w:val="00114544"/>
    <w:rsid w:val="001334FC"/>
    <w:rsid w:val="001663AC"/>
    <w:rsid w:val="001770B0"/>
    <w:rsid w:val="001A66A4"/>
    <w:rsid w:val="001B4D56"/>
    <w:rsid w:val="001C297B"/>
    <w:rsid w:val="001F08C9"/>
    <w:rsid w:val="00222486"/>
    <w:rsid w:val="00224D63"/>
    <w:rsid w:val="00286B67"/>
    <w:rsid w:val="00290A29"/>
    <w:rsid w:val="002A4B1F"/>
    <w:rsid w:val="002B76C5"/>
    <w:rsid w:val="002D45AB"/>
    <w:rsid w:val="002F25E6"/>
    <w:rsid w:val="00301FE1"/>
    <w:rsid w:val="00350521"/>
    <w:rsid w:val="00355300"/>
    <w:rsid w:val="003850A7"/>
    <w:rsid w:val="003A78DE"/>
    <w:rsid w:val="003D61B8"/>
    <w:rsid w:val="003E0C5A"/>
    <w:rsid w:val="003F6B8D"/>
    <w:rsid w:val="00420279"/>
    <w:rsid w:val="004234C1"/>
    <w:rsid w:val="00437D96"/>
    <w:rsid w:val="00450EE2"/>
    <w:rsid w:val="00455F27"/>
    <w:rsid w:val="004838EB"/>
    <w:rsid w:val="004A07A8"/>
    <w:rsid w:val="004A17A5"/>
    <w:rsid w:val="004A704B"/>
    <w:rsid w:val="004B5802"/>
    <w:rsid w:val="004B763F"/>
    <w:rsid w:val="004B7E79"/>
    <w:rsid w:val="004C49AD"/>
    <w:rsid w:val="004C73FD"/>
    <w:rsid w:val="00507295"/>
    <w:rsid w:val="005265E1"/>
    <w:rsid w:val="00541709"/>
    <w:rsid w:val="00545CDC"/>
    <w:rsid w:val="005A67D1"/>
    <w:rsid w:val="005E412A"/>
    <w:rsid w:val="005F03F8"/>
    <w:rsid w:val="005F7D85"/>
    <w:rsid w:val="006515BE"/>
    <w:rsid w:val="006A7C71"/>
    <w:rsid w:val="006C0D2C"/>
    <w:rsid w:val="006E0BA1"/>
    <w:rsid w:val="006E2C53"/>
    <w:rsid w:val="006F416A"/>
    <w:rsid w:val="00704185"/>
    <w:rsid w:val="00707EA7"/>
    <w:rsid w:val="007178B7"/>
    <w:rsid w:val="00722D6C"/>
    <w:rsid w:val="00732593"/>
    <w:rsid w:val="007723AE"/>
    <w:rsid w:val="00773273"/>
    <w:rsid w:val="007900C1"/>
    <w:rsid w:val="00791038"/>
    <w:rsid w:val="00796060"/>
    <w:rsid w:val="007A1D28"/>
    <w:rsid w:val="007C283F"/>
    <w:rsid w:val="008563D7"/>
    <w:rsid w:val="00856D01"/>
    <w:rsid w:val="008756EC"/>
    <w:rsid w:val="00880DAE"/>
    <w:rsid w:val="00884FC7"/>
    <w:rsid w:val="00895F57"/>
    <w:rsid w:val="008B18EA"/>
    <w:rsid w:val="008C0C85"/>
    <w:rsid w:val="00910377"/>
    <w:rsid w:val="00910729"/>
    <w:rsid w:val="00924CB1"/>
    <w:rsid w:val="00937035"/>
    <w:rsid w:val="009662B4"/>
    <w:rsid w:val="009670EF"/>
    <w:rsid w:val="00985014"/>
    <w:rsid w:val="00991D6C"/>
    <w:rsid w:val="009A1FA7"/>
    <w:rsid w:val="009A5787"/>
    <w:rsid w:val="009B0208"/>
    <w:rsid w:val="009D7016"/>
    <w:rsid w:val="009D7623"/>
    <w:rsid w:val="00A0441A"/>
    <w:rsid w:val="00A46489"/>
    <w:rsid w:val="00A76425"/>
    <w:rsid w:val="00AD3328"/>
    <w:rsid w:val="00B0092A"/>
    <w:rsid w:val="00B24ED0"/>
    <w:rsid w:val="00B46148"/>
    <w:rsid w:val="00B505EC"/>
    <w:rsid w:val="00B73919"/>
    <w:rsid w:val="00B7415C"/>
    <w:rsid w:val="00B97C29"/>
    <w:rsid w:val="00BA25DC"/>
    <w:rsid w:val="00BF6595"/>
    <w:rsid w:val="00C33314"/>
    <w:rsid w:val="00CB1901"/>
    <w:rsid w:val="00CC2386"/>
    <w:rsid w:val="00CC5DB8"/>
    <w:rsid w:val="00CD4576"/>
    <w:rsid w:val="00D26431"/>
    <w:rsid w:val="00D27547"/>
    <w:rsid w:val="00D30727"/>
    <w:rsid w:val="00D41226"/>
    <w:rsid w:val="00D4450F"/>
    <w:rsid w:val="00D76D93"/>
    <w:rsid w:val="00D80A8E"/>
    <w:rsid w:val="00D91118"/>
    <w:rsid w:val="00DA2EC4"/>
    <w:rsid w:val="00DD6BA2"/>
    <w:rsid w:val="00E10467"/>
    <w:rsid w:val="00E20668"/>
    <w:rsid w:val="00E25773"/>
    <w:rsid w:val="00E64C0E"/>
    <w:rsid w:val="00ED21AB"/>
    <w:rsid w:val="00EE6A7F"/>
    <w:rsid w:val="00F050EA"/>
    <w:rsid w:val="00F246B5"/>
    <w:rsid w:val="00F64E2F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11C4"/>
  <w15:docId w15:val="{37F2E755-0F9E-4F75-A6E6-E1B7D013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EA842-BF25-4372-9C73-5838BCF1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Mária</cp:lastModifiedBy>
  <cp:revision>2</cp:revision>
  <dcterms:created xsi:type="dcterms:W3CDTF">2020-10-14T13:22:00Z</dcterms:created>
  <dcterms:modified xsi:type="dcterms:W3CDTF">2020-10-14T13:22:00Z</dcterms:modified>
</cp:coreProperties>
</file>