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16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</w:p>
    <w:p w:rsidR="00413B16" w:rsidRPr="002A752A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  <w:r w:rsidRPr="002A752A">
        <w:rPr>
          <w:rFonts w:ascii="Calibri" w:hAnsi="Calibri" w:cs="Arial"/>
          <w:b/>
          <w:color w:val="1F497D"/>
          <w:sz w:val="36"/>
          <w:szCs w:val="36"/>
        </w:rPr>
        <w:t>Integrovaný regionálny operačný program</w:t>
      </w:r>
    </w:p>
    <w:p w:rsidR="00413B16" w:rsidRPr="002A752A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  <w:r w:rsidRPr="002A752A">
        <w:rPr>
          <w:rFonts w:ascii="Calibri" w:hAnsi="Calibri" w:cs="Arial"/>
          <w:b/>
          <w:color w:val="1F497D"/>
          <w:sz w:val="36"/>
          <w:szCs w:val="36"/>
        </w:rPr>
        <w:t>2014 – 2020</w:t>
      </w:r>
    </w:p>
    <w:p w:rsidR="00413B16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  <w:r w:rsidRPr="002A752A">
        <w:rPr>
          <w:rFonts w:ascii="Calibri" w:hAnsi="Calibri" w:cs="Arial"/>
          <w:b/>
          <w:color w:val="1F497D"/>
          <w:sz w:val="36"/>
          <w:szCs w:val="36"/>
        </w:rPr>
        <w:t xml:space="preserve">Prioritná os </w:t>
      </w:r>
      <w:r>
        <w:rPr>
          <w:rFonts w:ascii="Calibri" w:hAnsi="Calibri" w:cs="Arial"/>
          <w:b/>
          <w:color w:val="1F497D"/>
          <w:sz w:val="36"/>
          <w:szCs w:val="36"/>
        </w:rPr>
        <w:t>5 Miestny rozvoj vedený komunitou</w:t>
      </w:r>
    </w:p>
    <w:p w:rsidR="00413B16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</w:p>
    <w:p w:rsidR="00413B16" w:rsidRPr="006642B9" w:rsidRDefault="005154E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  <w:r>
        <w:rPr>
          <w:rFonts w:ascii="Calibri" w:hAnsi="Calibri" w:cs="Arial"/>
          <w:b/>
          <w:color w:val="1F497D"/>
          <w:sz w:val="36"/>
          <w:szCs w:val="36"/>
        </w:rPr>
        <w:t>Vzor Harmonogramu výziev</w:t>
      </w:r>
    </w:p>
    <w:p w:rsidR="00413B16" w:rsidRPr="006642B9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  <w:r w:rsidRPr="006642B9">
        <w:rPr>
          <w:rFonts w:ascii="Calibri" w:hAnsi="Calibri" w:cs="Arial"/>
          <w:b/>
          <w:color w:val="1F497D"/>
          <w:sz w:val="36"/>
          <w:szCs w:val="36"/>
        </w:rPr>
        <w:t xml:space="preserve">Vzor č. </w:t>
      </w:r>
      <w:sdt>
        <w:sdtPr>
          <w:rPr>
            <w:rFonts w:ascii="Calibri" w:hAnsi="Calibri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009137634"/>
          <w:placeholder>
            <w:docPart w:val="948EDF264937401B850B78A1D6B58E60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217CEC">
            <w:rPr>
              <w:rFonts w:ascii="Calibri" w:hAnsi="Calibri" w:cs="Arial"/>
              <w:b/>
              <w:color w:val="1F497D"/>
              <w:sz w:val="36"/>
              <w:szCs w:val="36"/>
            </w:rPr>
            <w:t>10</w:t>
          </w:r>
        </w:sdtContent>
      </w:sdt>
    </w:p>
    <w:p w:rsidR="00413B16" w:rsidRPr="006642B9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  <w:r w:rsidRPr="006642B9">
        <w:rPr>
          <w:rFonts w:ascii="Calibri" w:hAnsi="Calibri" w:cs="Arial"/>
          <w:b/>
          <w:color w:val="1F497D"/>
          <w:sz w:val="36"/>
          <w:szCs w:val="36"/>
        </w:rPr>
        <w:t xml:space="preserve">verzia </w:t>
      </w:r>
      <w:sdt>
        <w:sdtPr>
          <w:rPr>
            <w:rFonts w:ascii="Calibri" w:hAnsi="Calibri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645188027"/>
          <w:placeholder>
            <w:docPart w:val="C00230EDF92E41D7B2078735403BCF6B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D61E17">
            <w:rPr>
              <w:rFonts w:ascii="Calibri" w:hAnsi="Calibri" w:cs="Arial"/>
              <w:b/>
              <w:color w:val="1F497D"/>
              <w:sz w:val="36"/>
              <w:szCs w:val="36"/>
            </w:rPr>
            <w:t>1</w:t>
          </w:r>
        </w:sdtContent>
      </w:sdt>
    </w:p>
    <w:p w:rsidR="00413B16" w:rsidRPr="006642B9" w:rsidRDefault="00413B16" w:rsidP="00413B16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</w:p>
    <w:p w:rsidR="00413B16" w:rsidRDefault="00413B16" w:rsidP="00413B16">
      <w:pPr>
        <w:spacing w:before="120" w:after="120"/>
        <w:rPr>
          <w:rFonts w:ascii="Calibri" w:hAnsi="Calibri" w:cs="Arial"/>
          <w:b/>
          <w:color w:val="1F497D"/>
          <w:sz w:val="36"/>
          <w:szCs w:val="36"/>
        </w:rPr>
      </w:pPr>
      <w:r>
        <w:rPr>
          <w:rFonts w:ascii="Calibri" w:hAnsi="Calibri" w:cs="Arial"/>
          <w:b/>
          <w:color w:val="1F497D"/>
          <w:sz w:val="36"/>
          <w:szCs w:val="36"/>
        </w:rPr>
        <w:t>Určené pre: Miestne akčné skupiny (MAS)</w:t>
      </w:r>
    </w:p>
    <w:p w:rsidR="00413B16" w:rsidRDefault="00413B16" w:rsidP="00413B16">
      <w:pPr>
        <w:spacing w:before="120" w:after="120"/>
        <w:ind w:left="1843" w:hanging="1843"/>
        <w:jc w:val="both"/>
        <w:rPr>
          <w:rFonts w:ascii="Calibri" w:hAnsi="Calibri" w:cs="Arial"/>
          <w:b/>
          <w:color w:val="1F497D"/>
          <w:sz w:val="36"/>
          <w:szCs w:val="36"/>
        </w:rPr>
      </w:pPr>
      <w:r>
        <w:rPr>
          <w:rFonts w:ascii="Calibri" w:hAnsi="Calibri" w:cs="Arial"/>
          <w:b/>
          <w:color w:val="1F497D"/>
          <w:sz w:val="36"/>
          <w:szCs w:val="36"/>
        </w:rPr>
        <w:t>Záväznosť:</w:t>
      </w:r>
      <w:r>
        <w:rPr>
          <w:rFonts w:ascii="Calibri" w:hAnsi="Calibri" w:cs="Arial"/>
          <w:b/>
          <w:color w:val="1F497D"/>
          <w:sz w:val="36"/>
          <w:szCs w:val="36"/>
        </w:rPr>
        <w:tab/>
      </w:r>
      <w:r w:rsidRPr="00940716">
        <w:rPr>
          <w:rFonts w:ascii="Calibri" w:hAnsi="Calibri" w:cs="Arial"/>
          <w:b/>
          <w:color w:val="1F497D"/>
          <w:sz w:val="36"/>
          <w:szCs w:val="36"/>
        </w:rPr>
        <w:t xml:space="preserve">Vzor je pre </w:t>
      </w:r>
      <w:r>
        <w:rPr>
          <w:rFonts w:ascii="Calibri" w:hAnsi="Calibri" w:cs="Arial"/>
          <w:b/>
          <w:color w:val="1F497D"/>
          <w:sz w:val="36"/>
          <w:szCs w:val="36"/>
        </w:rPr>
        <w:t>MAS záväzný.</w:t>
      </w:r>
    </w:p>
    <w:p w:rsidR="00413B16" w:rsidRDefault="00413B16" w:rsidP="00413B16">
      <w:pPr>
        <w:spacing w:after="0" w:line="240" w:lineRule="auto"/>
        <w:rPr>
          <w:rFonts w:eastAsia="Times New Roman" w:cs="Times New Roman"/>
          <w:b/>
          <w:sz w:val="28"/>
          <w:szCs w:val="20"/>
        </w:rPr>
      </w:pPr>
    </w:p>
    <w:p w:rsidR="00413B16" w:rsidRPr="002A752A" w:rsidRDefault="00413B16" w:rsidP="00413B16">
      <w:pPr>
        <w:rPr>
          <w:rFonts w:ascii="Calibri" w:eastAsia="Calibri" w:hAnsi="Calibri" w:cs="Arial"/>
          <w:b/>
          <w:smallCaps/>
          <w:sz w:val="20"/>
          <w:szCs w:val="20"/>
        </w:rPr>
      </w:pPr>
    </w:p>
    <w:p w:rsidR="00413B16" w:rsidRPr="00FC401E" w:rsidRDefault="00413B16" w:rsidP="00413B16">
      <w:pPr>
        <w:pStyle w:val="Nadpis1"/>
        <w:rPr>
          <w:rFonts w:asciiTheme="minorHAnsi" w:hAnsiTheme="minorHAnsi"/>
          <w:b/>
          <w:sz w:val="36"/>
        </w:rPr>
      </w:pPr>
      <w:bookmarkStart w:id="0" w:name="_Ref494968963"/>
      <w:r w:rsidRPr="00FC401E">
        <w:rPr>
          <w:rFonts w:asciiTheme="minorHAnsi" w:eastAsiaTheme="minorEastAsia" w:hAnsiTheme="minorHAnsi"/>
          <w:b/>
          <w:sz w:val="36"/>
        </w:rPr>
        <w:t xml:space="preserve">Dátum platnosti od:  </w:t>
      </w:r>
      <w:sdt>
        <w:sdtPr>
          <w:rPr>
            <w:rFonts w:asciiTheme="minorHAnsi" w:hAnsiTheme="minorHAnsi"/>
            <w:b/>
            <w:sz w:val="36"/>
          </w:rPr>
          <w:id w:val="1463773424"/>
          <w:placeholder>
            <w:docPart w:val="077F3E213F6140F1BE8CC8103E878869"/>
          </w:placeholder>
          <w:date w:fullDate="2018-10-05T00:00:00Z"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="0069646F">
            <w:rPr>
              <w:rFonts w:asciiTheme="minorHAnsi" w:hAnsiTheme="minorHAnsi"/>
              <w:b/>
              <w:sz w:val="36"/>
            </w:rPr>
            <w:t>05.10.2018</w:t>
          </w:r>
        </w:sdtContent>
      </w:sdt>
      <w:bookmarkEnd w:id="0"/>
    </w:p>
    <w:p w:rsidR="00413B16" w:rsidRPr="00413B16" w:rsidRDefault="00413B16" w:rsidP="00413B16">
      <w:pPr>
        <w:spacing w:before="120" w:after="120" w:line="240" w:lineRule="auto"/>
        <w:ind w:left="3540" w:firstLine="708"/>
        <w:jc w:val="center"/>
        <w:rPr>
          <w:rFonts w:asciiTheme="minorHAnsi" w:hAnsiTheme="minorHAnsi" w:cs="Arial"/>
          <w:sz w:val="20"/>
          <w:szCs w:val="20"/>
        </w:rPr>
      </w:pPr>
    </w:p>
    <w:p w:rsidR="009C7008" w:rsidRPr="00E4368A" w:rsidRDefault="009C7008">
      <w:pPr>
        <w:rPr>
          <w:rFonts w:asciiTheme="minorHAnsi" w:hAnsiTheme="minorHAnsi"/>
          <w:b/>
          <w:i/>
          <w:sz w:val="22"/>
        </w:rPr>
        <w:sectPr w:rsidR="009C7008" w:rsidRPr="00E4368A" w:rsidSect="009C7008">
          <w:headerReference w:type="default" r:id="rId7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:rsidR="009C7008" w:rsidRPr="00E4368A" w:rsidRDefault="009C7008" w:rsidP="00D873FA">
      <w:pPr>
        <w:spacing w:after="0"/>
        <w:jc w:val="center"/>
        <w:rPr>
          <w:rFonts w:asciiTheme="minorHAnsi" w:hAnsiTheme="minorHAnsi"/>
          <w:b/>
          <w:i/>
          <w:sz w:val="22"/>
        </w:rPr>
      </w:pPr>
      <w:r w:rsidRPr="00E4368A">
        <w:rPr>
          <w:rFonts w:asciiTheme="minorHAnsi" w:hAnsiTheme="minorHAnsi"/>
          <w:b/>
          <w:i/>
          <w:sz w:val="22"/>
        </w:rPr>
        <w:lastRenderedPageBreak/>
        <w:t xml:space="preserve">Indikatívny harmonogram výziev na predkladanie žiadostí </w:t>
      </w:r>
      <w:r w:rsidR="0010589A" w:rsidRPr="00E4368A">
        <w:rPr>
          <w:rFonts w:asciiTheme="minorHAnsi" w:hAnsiTheme="minorHAnsi"/>
          <w:b/>
          <w:i/>
          <w:sz w:val="22"/>
        </w:rPr>
        <w:t xml:space="preserve">o </w:t>
      </w:r>
      <w:r w:rsidRPr="00E4368A">
        <w:rPr>
          <w:rFonts w:asciiTheme="minorHAnsi" w:hAnsiTheme="minorHAnsi"/>
          <w:b/>
          <w:i/>
          <w:sz w:val="22"/>
        </w:rPr>
        <w:t>príspevok</w:t>
      </w:r>
      <w:r w:rsidRPr="00E4368A">
        <w:rPr>
          <w:rStyle w:val="Odkaznapoznmkupodiarou"/>
          <w:rFonts w:asciiTheme="minorHAnsi" w:hAnsiTheme="minorHAnsi"/>
          <w:b/>
          <w:i/>
          <w:sz w:val="22"/>
        </w:rPr>
        <w:footnoteReference w:id="1"/>
      </w:r>
    </w:p>
    <w:p w:rsidR="009C7008" w:rsidRPr="00E4368A" w:rsidRDefault="009C7008" w:rsidP="00D873FA">
      <w:pPr>
        <w:spacing w:after="0"/>
        <w:jc w:val="center"/>
        <w:rPr>
          <w:rFonts w:asciiTheme="minorHAnsi" w:hAnsiTheme="minorHAnsi"/>
          <w:b/>
          <w:i/>
          <w:sz w:val="22"/>
        </w:rPr>
      </w:pPr>
      <w:r w:rsidRPr="00E4368A">
        <w:rPr>
          <w:rFonts w:asciiTheme="minorHAnsi" w:hAnsiTheme="minorHAnsi"/>
          <w:b/>
          <w:i/>
          <w:sz w:val="22"/>
        </w:rPr>
        <w:t xml:space="preserve">(obdobie </w:t>
      </w:r>
      <w:r w:rsidR="005326B3">
        <w:rPr>
          <w:rFonts w:asciiTheme="minorHAnsi" w:hAnsiTheme="minorHAnsi"/>
          <w:b/>
          <w:i/>
          <w:sz w:val="22"/>
        </w:rPr>
        <w:t>január 20</w:t>
      </w:r>
      <w:r w:rsidR="00EB223A">
        <w:rPr>
          <w:rFonts w:asciiTheme="minorHAnsi" w:hAnsiTheme="minorHAnsi"/>
          <w:b/>
          <w:i/>
          <w:sz w:val="22"/>
        </w:rPr>
        <w:t>20</w:t>
      </w:r>
      <w:r w:rsidR="005326B3">
        <w:rPr>
          <w:rFonts w:asciiTheme="minorHAnsi" w:hAnsiTheme="minorHAnsi"/>
          <w:b/>
          <w:i/>
          <w:sz w:val="22"/>
        </w:rPr>
        <w:t xml:space="preserve"> </w:t>
      </w:r>
      <w:r w:rsidRPr="00E4368A">
        <w:rPr>
          <w:rFonts w:asciiTheme="minorHAnsi" w:hAnsiTheme="minorHAnsi"/>
          <w:b/>
          <w:i/>
          <w:sz w:val="22"/>
        </w:rPr>
        <w:t xml:space="preserve"> až </w:t>
      </w:r>
      <w:r w:rsidR="0010589A" w:rsidRPr="00E4368A">
        <w:rPr>
          <w:rFonts w:asciiTheme="minorHAnsi" w:hAnsiTheme="minorHAnsi"/>
          <w:b/>
          <w:i/>
          <w:sz w:val="22"/>
        </w:rPr>
        <w:t>december</w:t>
      </w:r>
      <w:r w:rsidRPr="00E4368A">
        <w:rPr>
          <w:rFonts w:asciiTheme="minorHAnsi" w:hAnsiTheme="minorHAnsi"/>
          <w:b/>
          <w:i/>
          <w:sz w:val="22"/>
        </w:rPr>
        <w:t xml:space="preserve"> </w:t>
      </w:r>
      <w:r w:rsidR="005326B3">
        <w:rPr>
          <w:rFonts w:asciiTheme="minorHAnsi" w:hAnsiTheme="minorHAnsi"/>
          <w:b/>
          <w:i/>
          <w:sz w:val="22"/>
        </w:rPr>
        <w:t>20</w:t>
      </w:r>
      <w:r w:rsidR="00EB223A">
        <w:rPr>
          <w:rFonts w:asciiTheme="minorHAnsi" w:hAnsiTheme="minorHAnsi"/>
          <w:b/>
          <w:i/>
          <w:sz w:val="22"/>
        </w:rPr>
        <w:t>20</w:t>
      </w:r>
      <w:r w:rsidRPr="00E4368A">
        <w:rPr>
          <w:rFonts w:asciiTheme="minorHAnsi" w:hAnsiTheme="minorHAnsi"/>
          <w:b/>
          <w:i/>
          <w:sz w:val="22"/>
        </w:rPr>
        <w:t>)</w:t>
      </w:r>
    </w:p>
    <w:p w:rsidR="00E4368A" w:rsidRPr="00E4368A" w:rsidRDefault="00E4368A" w:rsidP="00D873FA">
      <w:pPr>
        <w:spacing w:after="0"/>
        <w:jc w:val="center"/>
        <w:rPr>
          <w:rFonts w:asciiTheme="minorHAnsi" w:hAnsiTheme="minorHAnsi"/>
          <w:b/>
          <w:i/>
          <w:sz w:val="22"/>
        </w:rPr>
      </w:pPr>
    </w:p>
    <w:p w:rsidR="009C7008" w:rsidRPr="00E4368A" w:rsidRDefault="009C7008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Operačný program:</w:t>
      </w:r>
      <w:r w:rsidR="0010589A" w:rsidRPr="00E4368A">
        <w:rPr>
          <w:rFonts w:asciiTheme="minorHAnsi" w:hAnsiTheme="minorHAnsi"/>
          <w:sz w:val="22"/>
        </w:rPr>
        <w:tab/>
        <w:t>Integrovaný regionálny operačný program</w:t>
      </w:r>
    </w:p>
    <w:p w:rsidR="0010589A" w:rsidRPr="00E4368A" w:rsidRDefault="0010589A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Prioritná os:</w:t>
      </w:r>
      <w:r w:rsidRPr="00E4368A">
        <w:rPr>
          <w:rFonts w:asciiTheme="minorHAnsi" w:hAnsiTheme="minorHAnsi"/>
          <w:sz w:val="22"/>
        </w:rPr>
        <w:tab/>
        <w:t>5 Miestny rozvoj vedený komunitou</w:t>
      </w:r>
    </w:p>
    <w:p w:rsidR="0010589A" w:rsidRPr="00E4368A" w:rsidRDefault="0010589A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Stratégia CLLD:</w:t>
      </w:r>
      <w:r w:rsidR="00E4368A">
        <w:rPr>
          <w:rFonts w:asciiTheme="minorHAnsi" w:hAnsiTheme="minorHAnsi"/>
          <w:sz w:val="22"/>
        </w:rPr>
        <w:tab/>
      </w:r>
      <w:r w:rsidR="005326B3">
        <w:rPr>
          <w:rFonts w:asciiTheme="minorHAnsi" w:hAnsiTheme="minorHAnsi"/>
          <w:sz w:val="22"/>
        </w:rPr>
        <w:t>Spoločne za rozvoj najsevernejšieho regiónu Slovenska</w:t>
      </w:r>
    </w:p>
    <w:p w:rsidR="009C7008" w:rsidRPr="00E4368A" w:rsidRDefault="0010589A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MAS</w:t>
      </w:r>
      <w:r w:rsidR="009C7008" w:rsidRPr="00E4368A">
        <w:rPr>
          <w:rFonts w:asciiTheme="minorHAnsi" w:hAnsiTheme="minorHAnsi"/>
          <w:sz w:val="22"/>
        </w:rPr>
        <w:t>:</w:t>
      </w:r>
      <w:r w:rsidRPr="00E4368A">
        <w:rPr>
          <w:rFonts w:asciiTheme="minorHAnsi" w:hAnsiTheme="minorHAnsi"/>
          <w:sz w:val="22"/>
        </w:rPr>
        <w:tab/>
      </w:r>
      <w:r w:rsidR="005326B3">
        <w:rPr>
          <w:rFonts w:asciiTheme="minorHAnsi" w:hAnsiTheme="minorHAnsi"/>
          <w:i/>
          <w:sz w:val="22"/>
        </w:rPr>
        <w:t xml:space="preserve">Miestna akčná skupina Biela Orava </w:t>
      </w:r>
    </w:p>
    <w:p w:rsidR="009C7008" w:rsidRPr="00E4368A" w:rsidRDefault="009C7008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Dátum schválenia</w:t>
      </w:r>
      <w:r w:rsidR="005154E6">
        <w:rPr>
          <w:rFonts w:asciiTheme="minorHAnsi" w:hAnsiTheme="minorHAnsi"/>
          <w:sz w:val="22"/>
        </w:rPr>
        <w:t xml:space="preserve"> harmonogramu</w:t>
      </w:r>
      <w:r w:rsidRPr="00E4368A">
        <w:rPr>
          <w:rStyle w:val="Odkaznapoznmkupodiarou"/>
          <w:rFonts w:asciiTheme="minorHAnsi" w:hAnsiTheme="minorHAnsi"/>
          <w:sz w:val="22"/>
        </w:rPr>
        <w:footnoteReference w:id="2"/>
      </w:r>
      <w:r w:rsidRPr="00E4368A">
        <w:rPr>
          <w:rFonts w:asciiTheme="minorHAnsi" w:hAnsiTheme="minorHAnsi"/>
          <w:sz w:val="22"/>
        </w:rPr>
        <w:t>:</w:t>
      </w:r>
      <w:r w:rsidR="0010589A" w:rsidRPr="00E4368A">
        <w:rPr>
          <w:rFonts w:asciiTheme="minorHAnsi" w:hAnsiTheme="minorHAnsi"/>
          <w:sz w:val="22"/>
        </w:rPr>
        <w:tab/>
      </w:r>
      <w:r w:rsidR="005326B3">
        <w:rPr>
          <w:rFonts w:asciiTheme="minorHAnsi" w:hAnsiTheme="minorHAnsi"/>
          <w:i/>
          <w:sz w:val="22"/>
        </w:rPr>
        <w:t>3.9.2019</w:t>
      </w:r>
    </w:p>
    <w:p w:rsidR="009C7008" w:rsidRPr="00E4368A" w:rsidRDefault="009C7008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Verzia:</w:t>
      </w:r>
      <w:r w:rsidRPr="00E4368A">
        <w:rPr>
          <w:rStyle w:val="Odkaznapoznmkupodiarou"/>
          <w:rFonts w:asciiTheme="minorHAnsi" w:hAnsiTheme="minorHAnsi"/>
          <w:sz w:val="22"/>
        </w:rPr>
        <w:footnoteReference w:id="3"/>
      </w:r>
      <w:r w:rsidR="0010589A" w:rsidRPr="00E4368A">
        <w:rPr>
          <w:rFonts w:asciiTheme="minorHAnsi" w:hAnsiTheme="minorHAnsi"/>
          <w:sz w:val="22"/>
        </w:rPr>
        <w:tab/>
      </w:r>
      <w:r w:rsidR="005326B3">
        <w:rPr>
          <w:rFonts w:asciiTheme="minorHAnsi" w:hAnsiTheme="minorHAnsi"/>
          <w:sz w:val="22"/>
        </w:rPr>
        <w:t>1</w:t>
      </w:r>
    </w:p>
    <w:p w:rsidR="0010589A" w:rsidRPr="00E4368A" w:rsidRDefault="0010589A" w:rsidP="009C7008">
      <w:pPr>
        <w:spacing w:after="0"/>
        <w:rPr>
          <w:rFonts w:asciiTheme="minorHAnsi" w:hAnsiTheme="minorHAnsi"/>
          <w:sz w:val="22"/>
        </w:rPr>
      </w:pPr>
    </w:p>
    <w:tbl>
      <w:tblPr>
        <w:tblStyle w:val="Mriekatabuky"/>
        <w:tblW w:w="12451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2144"/>
        <w:gridCol w:w="2030"/>
        <w:gridCol w:w="1276"/>
        <w:gridCol w:w="1393"/>
        <w:gridCol w:w="1542"/>
        <w:gridCol w:w="2008"/>
      </w:tblGrid>
      <w:tr w:rsidR="003E7163" w:rsidRPr="00E4368A" w:rsidTr="00DD62D6">
        <w:trPr>
          <w:trHeight w:val="754"/>
          <w:jc w:val="center"/>
        </w:trPr>
        <w:tc>
          <w:tcPr>
            <w:tcW w:w="2058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Špecifický cieľ</w:t>
            </w:r>
          </w:p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RO pre IROP</w:t>
            </w:r>
            <w:r w:rsidRPr="00E4368A">
              <w:rPr>
                <w:rStyle w:val="Odkaznapoznmkupodiarou"/>
                <w:rFonts w:asciiTheme="minorHAnsi" w:hAnsiTheme="minorHAnsi"/>
                <w:sz w:val="22"/>
              </w:rPr>
              <w:footnoteReference w:id="4"/>
            </w:r>
          </w:p>
        </w:tc>
        <w:tc>
          <w:tcPr>
            <w:tcW w:w="2144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Aktivita</w:t>
            </w:r>
          </w:p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MAS</w:t>
            </w:r>
            <w:r>
              <w:rPr>
                <w:rStyle w:val="Odkaznapoznmkupodiarou"/>
                <w:rFonts w:asciiTheme="minorHAnsi" w:hAnsiTheme="minorHAnsi"/>
                <w:sz w:val="22"/>
              </w:rPr>
              <w:footnoteReference w:id="5"/>
            </w:r>
          </w:p>
        </w:tc>
        <w:tc>
          <w:tcPr>
            <w:tcW w:w="2030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Oprávnení žiadatelia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Forma výzvy</w:t>
            </w:r>
            <w:r w:rsidRPr="00E4368A">
              <w:rPr>
                <w:rStyle w:val="Odkaznapoznmkupodiarou"/>
                <w:rFonts w:asciiTheme="minorHAnsi" w:hAnsiTheme="minorHAnsi"/>
                <w:sz w:val="22"/>
              </w:rPr>
              <w:footnoteReference w:id="6"/>
            </w:r>
          </w:p>
        </w:tc>
        <w:tc>
          <w:tcPr>
            <w:tcW w:w="1393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Dátum vyhlásenia výzvy</w:t>
            </w:r>
            <w:r w:rsidRPr="00E4368A">
              <w:rPr>
                <w:rStyle w:val="Odkaznapoznmkupodiarou"/>
                <w:rFonts w:asciiTheme="minorHAnsi" w:hAnsiTheme="minorHAnsi"/>
                <w:sz w:val="22"/>
              </w:rPr>
              <w:footnoteReference w:id="7"/>
            </w:r>
          </w:p>
        </w:tc>
        <w:tc>
          <w:tcPr>
            <w:tcW w:w="1542" w:type="dxa"/>
            <w:shd w:val="clear" w:color="auto" w:fill="95B3D7" w:themeFill="accent1" w:themeFillTint="99"/>
            <w:vAlign w:val="center"/>
          </w:tcPr>
          <w:p w:rsidR="003E7163" w:rsidRPr="00E4368A" w:rsidRDefault="003E7163" w:rsidP="006F1BA0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Dátum uzavretia výzvy</w:t>
            </w:r>
          </w:p>
        </w:tc>
        <w:tc>
          <w:tcPr>
            <w:tcW w:w="2008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Indikatívna výška finančných prostriedkov určených na výzvu</w:t>
            </w:r>
          </w:p>
        </w:tc>
      </w:tr>
      <w:tr w:rsidR="0049428C" w:rsidRPr="00E4368A" w:rsidTr="007B48C6">
        <w:trPr>
          <w:trHeight w:val="252"/>
          <w:jc w:val="center"/>
        </w:trPr>
        <w:tc>
          <w:tcPr>
            <w:tcW w:w="2058" w:type="dxa"/>
            <w:vAlign w:val="center"/>
          </w:tcPr>
          <w:p w:rsidR="0049428C" w:rsidRPr="00DD62D6" w:rsidRDefault="0049428C" w:rsidP="004942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368A">
              <w:rPr>
                <w:rFonts w:asciiTheme="minorHAnsi" w:hAnsiTheme="minorHAnsi"/>
                <w:sz w:val="18"/>
                <w:szCs w:val="18"/>
              </w:rPr>
              <w:t xml:space="preserve">5.1.1 Zvýšenie zamestnanosti na miestnej úrovni </w:t>
            </w:r>
            <w:r w:rsidRPr="00E4368A">
              <w:rPr>
                <w:rFonts w:asciiTheme="minorHAnsi" w:hAnsiTheme="minorHAnsi"/>
                <w:sz w:val="18"/>
                <w:szCs w:val="18"/>
              </w:rPr>
              <w:lastRenderedPageBreak/>
              <w:t>podporou podnikania a inovácií</w:t>
            </w:r>
          </w:p>
        </w:tc>
        <w:tc>
          <w:tcPr>
            <w:tcW w:w="2144" w:type="dxa"/>
          </w:tcPr>
          <w:p w:rsidR="0049428C" w:rsidRDefault="0049428C" w:rsidP="0049428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A1 Podpora podnikania a inovácií</w:t>
            </w:r>
          </w:p>
        </w:tc>
        <w:tc>
          <w:tcPr>
            <w:tcW w:w="2030" w:type="dxa"/>
            <w:vAlign w:val="center"/>
          </w:tcPr>
          <w:p w:rsidR="0049428C" w:rsidRPr="0049428C" w:rsidRDefault="0049428C" w:rsidP="004942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428C">
              <w:rPr>
                <w:rFonts w:asciiTheme="minorHAnsi" w:hAnsiTheme="minorHAnsi" w:cstheme="minorHAnsi"/>
                <w:sz w:val="18"/>
                <w:szCs w:val="18"/>
              </w:rPr>
              <w:t xml:space="preserve">samostatne zárobkovo činné osoby okrem tých, ktoré sú oprávnenými prijímateľmi z PRV v </w:t>
            </w:r>
            <w:r w:rsidRPr="0049428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opatrení LEADER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4942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Theme="minorHAnsi" w:hAnsiTheme="minorHAnsi" w:cstheme="minorHAnsi"/>
                <w:sz w:val="18"/>
                <w:szCs w:val="18"/>
              </w:rPr>
              <w:t>mikro</w:t>
            </w:r>
            <w:proofErr w:type="spellEnd"/>
            <w:r w:rsidRPr="0049428C">
              <w:rPr>
                <w:rFonts w:asciiTheme="minorHAnsi" w:hAnsiTheme="minorHAnsi" w:cstheme="minorHAnsi"/>
                <w:sz w:val="18"/>
                <w:szCs w:val="18"/>
              </w:rPr>
              <w:t xml:space="preserve"> a malé podniky s počtom do 49 zamestnancov, okrem tých, ktoré sú oprávnenými prijímateľmi z PRV v opatrení LEADER  – v zmysle IROP</w:t>
            </w:r>
          </w:p>
        </w:tc>
        <w:tc>
          <w:tcPr>
            <w:tcW w:w="1276" w:type="dxa"/>
            <w:vAlign w:val="center"/>
          </w:tcPr>
          <w:p w:rsidR="0049428C" w:rsidRPr="00DD62D6" w:rsidRDefault="0049428C" w:rsidP="004942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D62D6">
              <w:rPr>
                <w:rFonts w:asciiTheme="minorHAnsi" w:hAnsiTheme="minorHAnsi"/>
                <w:sz w:val="18"/>
                <w:szCs w:val="18"/>
              </w:rPr>
              <w:lastRenderedPageBreak/>
              <w:t>otvorená</w:t>
            </w:r>
          </w:p>
        </w:tc>
        <w:tc>
          <w:tcPr>
            <w:tcW w:w="1393" w:type="dxa"/>
            <w:vAlign w:val="center"/>
          </w:tcPr>
          <w:p w:rsidR="0049428C" w:rsidRPr="00DD62D6" w:rsidRDefault="0049428C" w:rsidP="004942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Pr="00DD62D6">
              <w:rPr>
                <w:rFonts w:asciiTheme="minorHAnsi" w:hAnsiTheme="minorHAnsi"/>
                <w:sz w:val="18"/>
                <w:szCs w:val="18"/>
              </w:rPr>
              <w:t>/20</w:t>
            </w: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542" w:type="dxa"/>
            <w:vAlign w:val="center"/>
          </w:tcPr>
          <w:p w:rsidR="0049428C" w:rsidRPr="00DD62D6" w:rsidRDefault="0049428C" w:rsidP="004942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D62D6">
              <w:rPr>
                <w:rFonts w:asciiTheme="minorHAnsi" w:hAnsiTheme="minorHAnsi"/>
                <w:sz w:val="18"/>
                <w:szCs w:val="18"/>
              </w:rPr>
              <w:t>do vyčerpania alokácie</w:t>
            </w:r>
          </w:p>
        </w:tc>
        <w:tc>
          <w:tcPr>
            <w:tcW w:w="2008" w:type="dxa"/>
          </w:tcPr>
          <w:p w:rsidR="0049428C" w:rsidRDefault="0049428C" w:rsidP="004942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49428C" w:rsidRDefault="0049428C" w:rsidP="004942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49428C" w:rsidRDefault="0049428C" w:rsidP="004942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450 000,- EUR</w:t>
            </w:r>
          </w:p>
          <w:p w:rsidR="0049428C" w:rsidRPr="00DD62D6" w:rsidRDefault="0049428C" w:rsidP="004942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C7408" w:rsidRPr="00E4368A" w:rsidTr="007B48C6">
        <w:trPr>
          <w:trHeight w:val="252"/>
          <w:jc w:val="center"/>
        </w:trPr>
        <w:tc>
          <w:tcPr>
            <w:tcW w:w="2058" w:type="dxa"/>
            <w:vAlign w:val="center"/>
          </w:tcPr>
          <w:p w:rsidR="006C7408" w:rsidRPr="00DD62D6" w:rsidRDefault="006C7408" w:rsidP="006C74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62D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5.1.2 Zlepšenie </w:t>
            </w:r>
            <w:bookmarkStart w:id="1" w:name="_GoBack"/>
            <w:bookmarkEnd w:id="1"/>
            <w:r w:rsidRPr="00DD62D6">
              <w:rPr>
                <w:rFonts w:asciiTheme="minorHAnsi" w:hAnsiTheme="minorHAnsi" w:cstheme="minorHAnsi"/>
                <w:sz w:val="18"/>
                <w:szCs w:val="18"/>
              </w:rPr>
              <w:t>udržateľných vzťahov medzi vidieckymi rozvojovými centrami a ich zázemím vo verejných službách a vo verejných infraštruktúrach</w:t>
            </w:r>
          </w:p>
        </w:tc>
        <w:tc>
          <w:tcPr>
            <w:tcW w:w="2144" w:type="dxa"/>
          </w:tcPr>
          <w:p w:rsidR="006C7408" w:rsidRPr="007B48C6" w:rsidRDefault="006C7408" w:rsidP="006C740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D2 Skvalitnenie a rozšírenie kapacít predškolských zariadení</w:t>
            </w:r>
          </w:p>
        </w:tc>
        <w:tc>
          <w:tcPr>
            <w:tcW w:w="2030" w:type="dxa"/>
            <w:vAlign w:val="center"/>
          </w:tcPr>
          <w:p w:rsidR="006C7408" w:rsidRPr="00EB223A" w:rsidRDefault="006C7408" w:rsidP="006C74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DD62D6">
              <w:rPr>
                <w:rFonts w:asciiTheme="minorHAnsi" w:hAnsiTheme="minorHAnsi"/>
                <w:sz w:val="18"/>
                <w:szCs w:val="18"/>
              </w:rPr>
              <w:t xml:space="preserve">está/obce, samostatné mestské časti a obce, združenie miest a obcí, </w:t>
            </w:r>
            <w:proofErr w:type="spellStart"/>
            <w:r w:rsidRPr="00DD62D6">
              <w:rPr>
                <w:rFonts w:asciiTheme="minorHAnsi" w:hAnsiTheme="minorHAnsi"/>
                <w:sz w:val="18"/>
                <w:szCs w:val="18"/>
              </w:rPr>
              <w:t>mikroregionálne</w:t>
            </w:r>
            <w:proofErr w:type="spellEnd"/>
            <w:r w:rsidRPr="00DD62D6">
              <w:rPr>
                <w:rFonts w:asciiTheme="minorHAnsi" w:hAnsiTheme="minorHAnsi"/>
                <w:sz w:val="18"/>
                <w:szCs w:val="18"/>
              </w:rPr>
              <w:t xml:space="preserve"> združenia, občianske združenia, neziskové organizácie, cirkevné organizácie, obce vo vidieckych oblastiach vrátane miest v zmysle IROP</w:t>
            </w:r>
          </w:p>
        </w:tc>
        <w:tc>
          <w:tcPr>
            <w:tcW w:w="1276" w:type="dxa"/>
            <w:vAlign w:val="center"/>
          </w:tcPr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D62D6">
              <w:rPr>
                <w:rFonts w:asciiTheme="minorHAnsi" w:hAnsiTheme="minorHAnsi"/>
                <w:sz w:val="18"/>
                <w:szCs w:val="18"/>
              </w:rPr>
              <w:t>otvorená</w:t>
            </w:r>
          </w:p>
        </w:tc>
        <w:tc>
          <w:tcPr>
            <w:tcW w:w="1393" w:type="dxa"/>
            <w:vAlign w:val="center"/>
          </w:tcPr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04</w:t>
            </w:r>
            <w:r w:rsidRPr="00DD62D6">
              <w:rPr>
                <w:rFonts w:asciiTheme="minorHAnsi" w:hAnsiTheme="minorHAnsi"/>
                <w:sz w:val="18"/>
                <w:szCs w:val="18"/>
              </w:rPr>
              <w:t>/20</w:t>
            </w: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542" w:type="dxa"/>
            <w:vAlign w:val="center"/>
          </w:tcPr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D62D6">
              <w:rPr>
                <w:rFonts w:asciiTheme="minorHAnsi" w:hAnsiTheme="minorHAnsi"/>
                <w:sz w:val="18"/>
                <w:szCs w:val="18"/>
              </w:rPr>
              <w:t>do vyčerpania alokácie</w:t>
            </w:r>
          </w:p>
        </w:tc>
        <w:tc>
          <w:tcPr>
            <w:tcW w:w="2008" w:type="dxa"/>
          </w:tcPr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100 000,- EUR</w:t>
            </w:r>
          </w:p>
        </w:tc>
      </w:tr>
      <w:tr w:rsidR="006C7408" w:rsidRPr="00E4368A" w:rsidTr="007B48C6">
        <w:trPr>
          <w:trHeight w:val="252"/>
          <w:jc w:val="center"/>
        </w:trPr>
        <w:tc>
          <w:tcPr>
            <w:tcW w:w="2058" w:type="dxa"/>
            <w:vAlign w:val="center"/>
          </w:tcPr>
          <w:p w:rsidR="006C7408" w:rsidRPr="00DD62D6" w:rsidRDefault="006C7408" w:rsidP="006C74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62D6">
              <w:rPr>
                <w:rFonts w:asciiTheme="minorHAnsi" w:hAnsiTheme="minorHAnsi" w:cstheme="minorHAnsi"/>
                <w:sz w:val="18"/>
                <w:szCs w:val="18"/>
              </w:rPr>
              <w:t>5.1.2 Zlepšenie udržateľných vzťahov medzi vidieckymi rozvojovými centrami a ich zázemím vo verejných službách a vo verejných infraštruktúrach</w:t>
            </w:r>
          </w:p>
        </w:tc>
        <w:tc>
          <w:tcPr>
            <w:tcW w:w="2144" w:type="dxa"/>
          </w:tcPr>
          <w:p w:rsidR="006C7408" w:rsidRPr="00DD62D6" w:rsidRDefault="006C7408" w:rsidP="006C740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C1 Komunitné a sociálne služby</w:t>
            </w:r>
          </w:p>
        </w:tc>
        <w:tc>
          <w:tcPr>
            <w:tcW w:w="2030" w:type="dxa"/>
            <w:vAlign w:val="center"/>
          </w:tcPr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DD62D6">
              <w:rPr>
                <w:rFonts w:asciiTheme="minorHAnsi" w:hAnsiTheme="minorHAnsi"/>
                <w:sz w:val="18"/>
                <w:szCs w:val="18"/>
              </w:rPr>
              <w:t xml:space="preserve">está/obce, samostatné mestské časti a obce, združenie miest a obcí, </w:t>
            </w:r>
            <w:proofErr w:type="spellStart"/>
            <w:r w:rsidRPr="00DD62D6">
              <w:rPr>
                <w:rFonts w:asciiTheme="minorHAnsi" w:hAnsiTheme="minorHAnsi"/>
                <w:sz w:val="18"/>
                <w:szCs w:val="18"/>
              </w:rPr>
              <w:t>mikroregionálne</w:t>
            </w:r>
            <w:proofErr w:type="spellEnd"/>
            <w:r w:rsidRPr="00DD62D6">
              <w:rPr>
                <w:rFonts w:asciiTheme="minorHAnsi" w:hAnsiTheme="minorHAnsi"/>
                <w:sz w:val="18"/>
                <w:szCs w:val="18"/>
              </w:rPr>
              <w:t xml:space="preserve"> združenia, občianske združenia, neziskové organizácie, cirkevné organizácie, obce vo vidieckych oblastiach vrátane miest v zmysle IROP</w:t>
            </w:r>
          </w:p>
        </w:tc>
        <w:tc>
          <w:tcPr>
            <w:tcW w:w="1276" w:type="dxa"/>
            <w:vAlign w:val="center"/>
          </w:tcPr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D62D6">
              <w:rPr>
                <w:rFonts w:asciiTheme="minorHAnsi" w:hAnsiTheme="minorHAnsi"/>
                <w:sz w:val="18"/>
                <w:szCs w:val="18"/>
              </w:rPr>
              <w:t>otvorená</w:t>
            </w:r>
          </w:p>
        </w:tc>
        <w:tc>
          <w:tcPr>
            <w:tcW w:w="1393" w:type="dxa"/>
            <w:vAlign w:val="center"/>
          </w:tcPr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06</w:t>
            </w:r>
            <w:r w:rsidRPr="00DD62D6">
              <w:rPr>
                <w:rFonts w:asciiTheme="minorHAnsi" w:hAnsiTheme="minorHAnsi"/>
                <w:sz w:val="18"/>
                <w:szCs w:val="18"/>
              </w:rPr>
              <w:t>/20</w:t>
            </w: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542" w:type="dxa"/>
            <w:vAlign w:val="center"/>
          </w:tcPr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D62D6">
              <w:rPr>
                <w:rFonts w:asciiTheme="minorHAnsi" w:hAnsiTheme="minorHAnsi"/>
                <w:sz w:val="18"/>
                <w:szCs w:val="18"/>
              </w:rPr>
              <w:t>do vyčerpania alokácie</w:t>
            </w:r>
          </w:p>
        </w:tc>
        <w:tc>
          <w:tcPr>
            <w:tcW w:w="2008" w:type="dxa"/>
          </w:tcPr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80 000,- EUR</w:t>
            </w:r>
          </w:p>
          <w:p w:rsidR="006C7408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C7408" w:rsidRPr="00DD62D6" w:rsidRDefault="006C7408" w:rsidP="006C740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C7008" w:rsidRPr="00E4368A" w:rsidRDefault="009C7008" w:rsidP="00DD62D6">
      <w:pPr>
        <w:rPr>
          <w:rFonts w:asciiTheme="minorHAnsi" w:hAnsiTheme="minorHAnsi"/>
          <w:i/>
          <w:sz w:val="22"/>
        </w:rPr>
      </w:pPr>
    </w:p>
    <w:sectPr w:rsidR="009C7008" w:rsidRPr="00E4368A" w:rsidSect="004E4086">
      <w:headerReference w:type="default" r:id="rId8"/>
      <w:footerReference w:type="default" r:id="rId9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010" w:rsidRDefault="00876010" w:rsidP="00C057E2">
      <w:pPr>
        <w:spacing w:after="0" w:line="240" w:lineRule="auto"/>
      </w:pPr>
      <w:r>
        <w:separator/>
      </w:r>
    </w:p>
  </w:endnote>
  <w:endnote w:type="continuationSeparator" w:id="0">
    <w:p w:rsidR="00876010" w:rsidRDefault="00876010" w:rsidP="00C0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27" w:rsidRDefault="006B7927" w:rsidP="006B7927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622DDB" wp14:editId="5486037F">
              <wp:simplePos x="0" y="0"/>
              <wp:positionH relativeFrom="column">
                <wp:posOffset>-4445</wp:posOffset>
              </wp:positionH>
              <wp:positionV relativeFrom="paragraph">
                <wp:posOffset>152400</wp:posOffset>
              </wp:positionV>
              <wp:extent cx="8953500" cy="9526"/>
              <wp:effectExtent l="57150" t="38100" r="57150" b="8572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53500" cy="9526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8F701" id="Rovná spojnica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pt" to="704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" strokecolor="#8064a2 [3207]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:rsidR="006B7927" w:rsidRDefault="006B7927" w:rsidP="006B7927">
    <w:pPr>
      <w:pStyle w:val="Pt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11048" wp14:editId="3F1A5846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866FD">
          <w:rPr>
            <w:noProof/>
          </w:rPr>
          <w:t>2</w:t>
        </w:r>
        <w:r>
          <w:fldChar w:fldCharType="end"/>
        </w:r>
      </w:sdtContent>
    </w:sdt>
  </w:p>
  <w:p w:rsidR="006B7927" w:rsidRDefault="006B7927" w:rsidP="006B7927">
    <w:pPr>
      <w:pStyle w:val="Pta"/>
    </w:pPr>
  </w:p>
  <w:p w:rsidR="006B7927" w:rsidRDefault="006B79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010" w:rsidRDefault="00876010" w:rsidP="00C057E2">
      <w:pPr>
        <w:spacing w:after="0" w:line="240" w:lineRule="auto"/>
      </w:pPr>
      <w:r>
        <w:separator/>
      </w:r>
    </w:p>
  </w:footnote>
  <w:footnote w:type="continuationSeparator" w:id="0">
    <w:p w:rsidR="00876010" w:rsidRDefault="00876010" w:rsidP="00C057E2">
      <w:pPr>
        <w:spacing w:after="0" w:line="240" w:lineRule="auto"/>
      </w:pPr>
      <w:r>
        <w:continuationSeparator/>
      </w:r>
    </w:p>
  </w:footnote>
  <w:footnote w:id="1">
    <w:p w:rsidR="009C7008" w:rsidRPr="00E4368A" w:rsidRDefault="009C7008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="00E4368A" w:rsidRPr="00E4368A">
        <w:rPr>
          <w:rFonts w:asciiTheme="minorHAnsi" w:hAnsiTheme="minorHAnsi"/>
          <w:sz w:val="18"/>
          <w:szCs w:val="18"/>
        </w:rPr>
        <w:tab/>
      </w:r>
      <w:r w:rsidRPr="00E4368A">
        <w:rPr>
          <w:rFonts w:asciiTheme="minorHAnsi" w:hAnsiTheme="minorHAnsi"/>
          <w:sz w:val="18"/>
          <w:szCs w:val="18"/>
        </w:rPr>
        <w:t>V harmonograme sa uvádz</w:t>
      </w:r>
      <w:r w:rsidR="0010589A" w:rsidRPr="00E4368A">
        <w:rPr>
          <w:rFonts w:asciiTheme="minorHAnsi" w:hAnsiTheme="minorHAnsi"/>
          <w:sz w:val="18"/>
          <w:szCs w:val="18"/>
        </w:rPr>
        <w:t>ajú údaje o plánovaných výzvach.</w:t>
      </w:r>
      <w:r w:rsidR="00E4368A">
        <w:rPr>
          <w:rFonts w:asciiTheme="minorHAnsi" w:hAnsiTheme="minorHAnsi"/>
          <w:sz w:val="18"/>
          <w:szCs w:val="18"/>
        </w:rPr>
        <w:t xml:space="preserve"> Harmonogram výziev podlieha aktualizácii v prípade, ak dôjde k posunu vyhlásenia výzvy zaradenej v harmonograme o viac ako štyri mesiace alebo ak dôjde k vecným zmenám v údajoch, ktoré sú uvádzané v harmonograme.</w:t>
      </w:r>
      <w:r w:rsidR="003E7163">
        <w:rPr>
          <w:rFonts w:asciiTheme="minorHAnsi" w:hAnsiTheme="minorHAnsi"/>
          <w:sz w:val="18"/>
          <w:szCs w:val="18"/>
        </w:rPr>
        <w:t xml:space="preserve"> Za oprávnené sa považuje územie príslušnej MAS.</w:t>
      </w:r>
    </w:p>
  </w:footnote>
  <w:footnote w:id="2">
    <w:p w:rsidR="009C7008" w:rsidRPr="00E4368A" w:rsidRDefault="009C7008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="00E4368A" w:rsidRPr="00E4368A">
        <w:rPr>
          <w:rFonts w:asciiTheme="minorHAnsi" w:hAnsiTheme="minorHAnsi"/>
          <w:sz w:val="18"/>
          <w:szCs w:val="18"/>
        </w:rPr>
        <w:tab/>
      </w:r>
      <w:r w:rsidR="0010589A" w:rsidRPr="00E4368A">
        <w:rPr>
          <w:rFonts w:asciiTheme="minorHAnsi" w:hAnsiTheme="minorHAnsi"/>
          <w:sz w:val="18"/>
          <w:szCs w:val="18"/>
        </w:rPr>
        <w:t>MAS</w:t>
      </w:r>
      <w:r w:rsidRPr="00E4368A">
        <w:rPr>
          <w:rFonts w:asciiTheme="minorHAnsi" w:hAnsiTheme="minorHAnsi"/>
          <w:sz w:val="18"/>
          <w:szCs w:val="18"/>
        </w:rPr>
        <w:t xml:space="preserve"> zverejňuje harmonogram výziev na kalendárny rok „n+1“ na svojom webovom sídle v termíne najneskôr do 31. </w:t>
      </w:r>
      <w:r w:rsidR="0010589A" w:rsidRPr="00E4368A">
        <w:rPr>
          <w:rFonts w:asciiTheme="minorHAnsi" w:hAnsiTheme="minorHAnsi"/>
          <w:sz w:val="18"/>
          <w:szCs w:val="18"/>
        </w:rPr>
        <w:t>októbra</w:t>
      </w:r>
      <w:r w:rsidRPr="00E4368A">
        <w:rPr>
          <w:rFonts w:asciiTheme="minorHAnsi" w:hAnsiTheme="minorHAnsi"/>
          <w:sz w:val="18"/>
          <w:szCs w:val="18"/>
        </w:rPr>
        <w:t xml:space="preserve"> kalendárneho roka „n“</w:t>
      </w:r>
      <w:r w:rsidR="0010589A" w:rsidRPr="00E4368A">
        <w:rPr>
          <w:rFonts w:asciiTheme="minorHAnsi" w:hAnsiTheme="minorHAnsi"/>
          <w:sz w:val="18"/>
          <w:szCs w:val="18"/>
        </w:rPr>
        <w:t>. MAS zasiela harmonogram aj RO</w:t>
      </w:r>
      <w:r w:rsidR="00E4368A">
        <w:rPr>
          <w:rFonts w:asciiTheme="minorHAnsi" w:hAnsiTheme="minorHAnsi"/>
          <w:sz w:val="18"/>
          <w:szCs w:val="18"/>
        </w:rPr>
        <w:t> </w:t>
      </w:r>
      <w:r w:rsidR="0010589A" w:rsidRPr="00E4368A">
        <w:rPr>
          <w:rFonts w:asciiTheme="minorHAnsi" w:hAnsiTheme="minorHAnsi"/>
          <w:sz w:val="18"/>
          <w:szCs w:val="18"/>
        </w:rPr>
        <w:t>pre</w:t>
      </w:r>
      <w:r w:rsidR="00E4368A">
        <w:rPr>
          <w:rFonts w:asciiTheme="minorHAnsi" w:hAnsiTheme="minorHAnsi"/>
          <w:sz w:val="18"/>
          <w:szCs w:val="18"/>
        </w:rPr>
        <w:t> </w:t>
      </w:r>
      <w:r w:rsidR="0010589A" w:rsidRPr="00E4368A">
        <w:rPr>
          <w:rFonts w:asciiTheme="minorHAnsi" w:hAnsiTheme="minorHAnsi"/>
          <w:sz w:val="18"/>
          <w:szCs w:val="18"/>
        </w:rPr>
        <w:t>IROP, ktorý ho následne zverejní na svojom webovom sídle.</w:t>
      </w:r>
      <w:r w:rsidR="00E4368A" w:rsidRPr="00E4368A">
        <w:rPr>
          <w:rFonts w:asciiTheme="minorHAnsi" w:hAnsiTheme="minorHAnsi"/>
          <w:sz w:val="18"/>
          <w:szCs w:val="18"/>
        </w:rPr>
        <w:t xml:space="preserve"> Dátum schválenia je dátumom, kedy výkonný orgán MAS schválil predmetnú verziu harmonogramu.</w:t>
      </w:r>
    </w:p>
  </w:footnote>
  <w:footnote w:id="3">
    <w:p w:rsidR="009C7008" w:rsidRPr="00E4368A" w:rsidRDefault="009C7008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="00E4368A" w:rsidRPr="00E4368A">
        <w:rPr>
          <w:rFonts w:asciiTheme="minorHAnsi" w:hAnsiTheme="minorHAnsi"/>
          <w:sz w:val="18"/>
          <w:szCs w:val="18"/>
        </w:rPr>
        <w:tab/>
      </w:r>
      <w:r w:rsidR="0010589A" w:rsidRPr="00E4368A">
        <w:rPr>
          <w:rFonts w:asciiTheme="minorHAnsi" w:hAnsiTheme="minorHAnsi"/>
          <w:sz w:val="18"/>
          <w:szCs w:val="18"/>
        </w:rPr>
        <w:t>MAS</w:t>
      </w:r>
      <w:r w:rsidRPr="00E4368A">
        <w:rPr>
          <w:rFonts w:asciiTheme="minorHAnsi" w:hAnsiTheme="minorHAnsi"/>
          <w:sz w:val="18"/>
          <w:szCs w:val="18"/>
        </w:rPr>
        <w:t xml:space="preserve"> uvedie číslo verzie v celočíselnom označení vzostupne podľa počtu aktual</w:t>
      </w:r>
      <w:r w:rsidR="00E4368A">
        <w:rPr>
          <w:rFonts w:asciiTheme="minorHAnsi" w:hAnsiTheme="minorHAnsi"/>
          <w:sz w:val="18"/>
          <w:szCs w:val="18"/>
        </w:rPr>
        <w:t>izácii konkrétneho harmonogramu.</w:t>
      </w:r>
    </w:p>
  </w:footnote>
  <w:footnote w:id="4">
    <w:p w:rsidR="003E7163" w:rsidRPr="00E4368A" w:rsidRDefault="003E7163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>MAS uvádza, pod ktorý špecifický cieľ RO pre IROP spadá predmetná výzva. MAS vyberá ŠC 5.1.1 Zvýšenie zamestnanosti na miestnej úrovni podporou podnikania a inovácií alebo 5.1.2</w:t>
      </w:r>
      <w:r>
        <w:rPr>
          <w:rFonts w:asciiTheme="minorHAnsi" w:hAnsiTheme="minorHAnsi"/>
          <w:sz w:val="18"/>
          <w:szCs w:val="18"/>
        </w:rPr>
        <w:t> </w:t>
      </w:r>
      <w:r w:rsidRPr="00E4368A">
        <w:rPr>
          <w:rFonts w:asciiTheme="minorHAnsi" w:hAnsiTheme="minorHAnsi"/>
          <w:sz w:val="18"/>
          <w:szCs w:val="18"/>
        </w:rPr>
        <w:t>Zlepšenie udržateľných vzťahov medzi vidieckymi rozvojovými centrami a ich zázemím vo verejných službách a vo verejných infraštruktúrach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3E7163" w:rsidRPr="00E4368A" w:rsidRDefault="003E7163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 xml:space="preserve">MAS vyberá </w:t>
      </w:r>
      <w:r>
        <w:rPr>
          <w:rFonts w:asciiTheme="minorHAnsi" w:hAnsiTheme="minorHAnsi"/>
          <w:sz w:val="18"/>
          <w:szCs w:val="18"/>
        </w:rPr>
        <w:t>príslušnú</w:t>
      </w:r>
      <w:r w:rsidRPr="00E4368A">
        <w:rPr>
          <w:rFonts w:asciiTheme="minorHAnsi" w:hAnsiTheme="minorHAnsi"/>
          <w:sz w:val="18"/>
          <w:szCs w:val="18"/>
        </w:rPr>
        <w:t xml:space="preserve"> aktivitu v súlade s</w:t>
      </w:r>
      <w:r>
        <w:rPr>
          <w:rFonts w:asciiTheme="minorHAnsi" w:hAnsiTheme="minorHAnsi"/>
          <w:sz w:val="18"/>
          <w:szCs w:val="18"/>
        </w:rPr>
        <w:t xml:space="preserve"> Konceptom implementácie stratégie CLLD. </w:t>
      </w:r>
    </w:p>
  </w:footnote>
  <w:footnote w:id="6">
    <w:p w:rsidR="003E7163" w:rsidRPr="00E4368A" w:rsidRDefault="003E7163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>MAS vyhlasuje výlučne otvorené výzvy.</w:t>
      </w:r>
    </w:p>
  </w:footnote>
  <w:footnote w:id="7">
    <w:p w:rsidR="003E7163" w:rsidRDefault="003E7163" w:rsidP="00E4368A">
      <w:pPr>
        <w:pStyle w:val="Textpoznmkypodiarou"/>
        <w:ind w:left="284" w:hanging="284"/>
        <w:jc w:val="both"/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>Uvádza sa kalendárny mesiac a rok, v ktorom sa plánuje výzva vyhlásiť</w:t>
      </w:r>
      <w:r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B16" w:rsidRDefault="00413B16" w:rsidP="00413B16">
    <w:pPr>
      <w:pStyle w:val="Hlavika"/>
      <w:rPr>
        <w:rFonts w:ascii="Arial Narrow" w:hAnsi="Arial Narrow"/>
        <w:sz w:val="20"/>
        <w:szCs w:val="20"/>
      </w:rPr>
    </w:pPr>
    <w:r w:rsidRPr="004C2F1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18A0559B" wp14:editId="5A00D9CC">
          <wp:simplePos x="0" y="0"/>
          <wp:positionH relativeFrom="column">
            <wp:posOffset>2043430</wp:posOffset>
          </wp:positionH>
          <wp:positionV relativeFrom="paragraph">
            <wp:posOffset>-516255</wp:posOffset>
          </wp:positionV>
          <wp:extent cx="1314450" cy="1276350"/>
          <wp:effectExtent l="19050" t="0" r="0" b="0"/>
          <wp:wrapNone/>
          <wp:docPr id="10" name="Obrázo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6DB053AE" wp14:editId="20871B9F">
          <wp:simplePos x="0" y="0"/>
          <wp:positionH relativeFrom="column">
            <wp:posOffset>370205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4C2F1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7A3B5B54" wp14:editId="522BAB09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4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3B16" w:rsidRDefault="00413B1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B16" w:rsidRPr="001F013A" w:rsidRDefault="004E0C17" w:rsidP="00413B1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9504" behindDoc="1" locked="0" layoutInCell="1" allowOverlap="1" wp14:anchorId="496200A9" wp14:editId="4FC02CC9">
          <wp:simplePos x="0" y="0"/>
          <wp:positionH relativeFrom="column">
            <wp:posOffset>4558030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16" name="Obrázo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8480" behindDoc="1" locked="0" layoutInCell="1" allowOverlap="1" wp14:anchorId="1A82E93F" wp14:editId="2B3AE1A4">
          <wp:simplePos x="0" y="0"/>
          <wp:positionH relativeFrom="column">
            <wp:posOffset>2360930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26B3">
      <w:rPr>
        <w:noProof/>
        <w:color w:val="000000" w:themeColor="text1"/>
      </w:rPr>
      <w:drawing>
        <wp:inline distT="0" distB="0" distL="0" distR="0">
          <wp:extent cx="685800" cy="68580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70528" behindDoc="1" locked="0" layoutInCell="1" allowOverlap="1" wp14:anchorId="1BE0541E" wp14:editId="0807B22F">
          <wp:simplePos x="0" y="0"/>
          <wp:positionH relativeFrom="column">
            <wp:posOffset>7177405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3B16" w:rsidRDefault="00413B16" w:rsidP="00413B16">
    <w:pPr>
      <w:pStyle w:val="Hlavika"/>
    </w:pPr>
  </w:p>
  <w:p w:rsidR="0019444C" w:rsidRDefault="0019444C" w:rsidP="004E0C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23"/>
    <w:rsid w:val="000015B7"/>
    <w:rsid w:val="00080824"/>
    <w:rsid w:val="00095F84"/>
    <w:rsid w:val="000B0C58"/>
    <w:rsid w:val="000E7996"/>
    <w:rsid w:val="0010589A"/>
    <w:rsid w:val="00117D56"/>
    <w:rsid w:val="00187F2F"/>
    <w:rsid w:val="0019444C"/>
    <w:rsid w:val="00211691"/>
    <w:rsid w:val="00217CEC"/>
    <w:rsid w:val="00242051"/>
    <w:rsid w:val="00295FD9"/>
    <w:rsid w:val="002E6DD1"/>
    <w:rsid w:val="00311C83"/>
    <w:rsid w:val="003377A7"/>
    <w:rsid w:val="003632C4"/>
    <w:rsid w:val="003A0A3C"/>
    <w:rsid w:val="003B5518"/>
    <w:rsid w:val="003C7C46"/>
    <w:rsid w:val="003E6833"/>
    <w:rsid w:val="003E7163"/>
    <w:rsid w:val="00413B16"/>
    <w:rsid w:val="00454F56"/>
    <w:rsid w:val="0049428C"/>
    <w:rsid w:val="004E0C17"/>
    <w:rsid w:val="004E4086"/>
    <w:rsid w:val="0050129E"/>
    <w:rsid w:val="005154E6"/>
    <w:rsid w:val="005326B3"/>
    <w:rsid w:val="005C27BD"/>
    <w:rsid w:val="006300A5"/>
    <w:rsid w:val="0069646F"/>
    <w:rsid w:val="006B7927"/>
    <w:rsid w:val="006C7408"/>
    <w:rsid w:val="006F1BA0"/>
    <w:rsid w:val="0070774B"/>
    <w:rsid w:val="00726C07"/>
    <w:rsid w:val="0079366E"/>
    <w:rsid w:val="007B48C6"/>
    <w:rsid w:val="007F08EA"/>
    <w:rsid w:val="008334F9"/>
    <w:rsid w:val="00836AC8"/>
    <w:rsid w:val="00876010"/>
    <w:rsid w:val="008D0C3E"/>
    <w:rsid w:val="008E0389"/>
    <w:rsid w:val="009023BC"/>
    <w:rsid w:val="00981528"/>
    <w:rsid w:val="00981818"/>
    <w:rsid w:val="00992EDD"/>
    <w:rsid w:val="00993C5A"/>
    <w:rsid w:val="009C58D5"/>
    <w:rsid w:val="009C7008"/>
    <w:rsid w:val="00A17DAB"/>
    <w:rsid w:val="00A34131"/>
    <w:rsid w:val="00A9035D"/>
    <w:rsid w:val="00AC6266"/>
    <w:rsid w:val="00B41A8E"/>
    <w:rsid w:val="00B67CCB"/>
    <w:rsid w:val="00BA5823"/>
    <w:rsid w:val="00BE75A4"/>
    <w:rsid w:val="00BF1E73"/>
    <w:rsid w:val="00C057E2"/>
    <w:rsid w:val="00C35B10"/>
    <w:rsid w:val="00C43EE3"/>
    <w:rsid w:val="00CB4492"/>
    <w:rsid w:val="00CD3613"/>
    <w:rsid w:val="00D04DA3"/>
    <w:rsid w:val="00D61E17"/>
    <w:rsid w:val="00D62C3C"/>
    <w:rsid w:val="00D873FA"/>
    <w:rsid w:val="00DD62D6"/>
    <w:rsid w:val="00E04EAF"/>
    <w:rsid w:val="00E4368A"/>
    <w:rsid w:val="00E85D90"/>
    <w:rsid w:val="00E866FD"/>
    <w:rsid w:val="00E86C4E"/>
    <w:rsid w:val="00EB223A"/>
    <w:rsid w:val="00F45D88"/>
    <w:rsid w:val="00F90274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0D8B7"/>
  <w15:docId w15:val="{044C04A9-C506-4919-B420-4FD2C100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00A5"/>
    <w:rPr>
      <w:rFonts w:ascii="Times New Roman" w:eastAsiaTheme="minorEastAsia" w:hAnsi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3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57E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57E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057E2"/>
    <w:rPr>
      <w:vertAlign w:val="superscript"/>
    </w:rPr>
  </w:style>
  <w:style w:type="table" w:styleId="Mriekatabuky">
    <w:name w:val="Table Grid"/>
    <w:basedOn w:val="Normlnatabuka"/>
    <w:uiPriority w:val="59"/>
    <w:rsid w:val="00C0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5D88"/>
    <w:rPr>
      <w:rFonts w:ascii="Tahoma" w:eastAsiaTheme="minorEastAsi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1A8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1A8E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4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9444C"/>
    <w:rPr>
      <w:color w:val="808080"/>
    </w:rPr>
  </w:style>
  <w:style w:type="paragraph" w:styleId="Revzia">
    <w:name w:val="Revision"/>
    <w:hidden/>
    <w:uiPriority w:val="99"/>
    <w:semiHidden/>
    <w:rsid w:val="0019444C"/>
    <w:pPr>
      <w:spacing w:after="0" w:line="240" w:lineRule="auto"/>
    </w:pPr>
    <w:rPr>
      <w:rFonts w:ascii="Times New Roman" w:eastAsiaTheme="minorEastAsia" w:hAnsi="Times New Roman"/>
      <w:sz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3B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051"/>
    <w:pPr>
      <w:spacing w:after="200"/>
    </w:pPr>
    <w:rPr>
      <w:rFonts w:eastAsiaTheme="minorEastAsia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051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8EDF264937401B850B78A1D6B58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307FDE-6100-4CE8-AF64-D992B62244F4}"/>
      </w:docPartPr>
      <w:docPartBody>
        <w:p w:rsidR="00581B5B" w:rsidRDefault="00617F0B" w:rsidP="00617F0B">
          <w:pPr>
            <w:pStyle w:val="948EDF264937401B850B78A1D6B58E60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C00230EDF92E41D7B2078735403BCF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F9917F-15EF-413C-9D0B-EDF794CF0E7A}"/>
      </w:docPartPr>
      <w:docPartBody>
        <w:p w:rsidR="00581B5B" w:rsidRDefault="00617F0B" w:rsidP="00617F0B">
          <w:pPr>
            <w:pStyle w:val="C00230EDF92E41D7B2078735403BCF6B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077F3E213F6140F1BE8CC8103E8788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81EC85-915B-4CDC-B3A0-FDDF42D04F06}"/>
      </w:docPartPr>
      <w:docPartBody>
        <w:p w:rsidR="00581B5B" w:rsidRDefault="00617F0B" w:rsidP="00617F0B">
          <w:pPr>
            <w:pStyle w:val="077F3E213F6140F1BE8CC8103E878869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E9A"/>
    <w:rsid w:val="00043F2B"/>
    <w:rsid w:val="00063E9A"/>
    <w:rsid w:val="00084A5A"/>
    <w:rsid w:val="000E779A"/>
    <w:rsid w:val="001C7E41"/>
    <w:rsid w:val="003109A6"/>
    <w:rsid w:val="00363EFE"/>
    <w:rsid w:val="003954DE"/>
    <w:rsid w:val="004E113A"/>
    <w:rsid w:val="00581B5B"/>
    <w:rsid w:val="00617F0B"/>
    <w:rsid w:val="00660156"/>
    <w:rsid w:val="006811BD"/>
    <w:rsid w:val="006F05AD"/>
    <w:rsid w:val="00727D5B"/>
    <w:rsid w:val="009A32BA"/>
    <w:rsid w:val="00AD474B"/>
    <w:rsid w:val="00B9281C"/>
    <w:rsid w:val="00BC5EC3"/>
    <w:rsid w:val="00C23ACD"/>
    <w:rsid w:val="00C37343"/>
    <w:rsid w:val="00D46A70"/>
    <w:rsid w:val="00D7485B"/>
    <w:rsid w:val="00F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17F0B"/>
    <w:rPr>
      <w:color w:val="808080"/>
    </w:rPr>
  </w:style>
  <w:style w:type="paragraph" w:customStyle="1" w:styleId="BF0AEC9BFD04453B9A5F0A08C6DA13A3">
    <w:name w:val="BF0AEC9BFD04453B9A5F0A08C6DA13A3"/>
    <w:rsid w:val="00063E9A"/>
  </w:style>
  <w:style w:type="paragraph" w:customStyle="1" w:styleId="791A2D31823E43E3B292DED982678199">
    <w:name w:val="791A2D31823E43E3B292DED982678199"/>
    <w:rsid w:val="00063E9A"/>
  </w:style>
  <w:style w:type="paragraph" w:customStyle="1" w:styleId="F0DCF357A0A5442B9F99F4D9E0C70E68">
    <w:name w:val="F0DCF357A0A5442B9F99F4D9E0C70E68"/>
    <w:rsid w:val="00063E9A"/>
  </w:style>
  <w:style w:type="paragraph" w:customStyle="1" w:styleId="658702AFADEB4F3D8F120A2BE49C6F2F">
    <w:name w:val="658702AFADEB4F3D8F120A2BE49C6F2F"/>
    <w:rsid w:val="00063E9A"/>
  </w:style>
  <w:style w:type="paragraph" w:customStyle="1" w:styleId="A6735187AF024532A94A3831F4BFB77C">
    <w:name w:val="A6735187AF024532A94A3831F4BFB77C"/>
    <w:rsid w:val="00063E9A"/>
  </w:style>
  <w:style w:type="paragraph" w:customStyle="1" w:styleId="CD83447E730F4375B75A6DA91F142DB9">
    <w:name w:val="CD83447E730F4375B75A6DA91F142DB9"/>
    <w:rsid w:val="00063E9A"/>
  </w:style>
  <w:style w:type="paragraph" w:customStyle="1" w:styleId="3BB1B78F560C4DB7B15865CD16952F32">
    <w:name w:val="3BB1B78F560C4DB7B15865CD16952F32"/>
    <w:rsid w:val="00063E9A"/>
  </w:style>
  <w:style w:type="paragraph" w:customStyle="1" w:styleId="92324CFD20504C94AD4A41A938B4BF94">
    <w:name w:val="92324CFD20504C94AD4A41A938B4BF94"/>
    <w:rsid w:val="00063E9A"/>
  </w:style>
  <w:style w:type="paragraph" w:customStyle="1" w:styleId="2B6BD9DF6C3E4DA8BEAF91C8C8704B59">
    <w:name w:val="2B6BD9DF6C3E4DA8BEAF91C8C8704B59"/>
    <w:rsid w:val="00063E9A"/>
  </w:style>
  <w:style w:type="paragraph" w:customStyle="1" w:styleId="66D8920F5E2C4D81993C69E974B2DBBB">
    <w:name w:val="66D8920F5E2C4D81993C69E974B2DBBB"/>
    <w:rsid w:val="00063E9A"/>
  </w:style>
  <w:style w:type="paragraph" w:customStyle="1" w:styleId="A01C9E4728984C4C9F36FC6E867333D8">
    <w:name w:val="A01C9E4728984C4C9F36FC6E867333D8"/>
    <w:rsid w:val="00063E9A"/>
  </w:style>
  <w:style w:type="paragraph" w:customStyle="1" w:styleId="C62C4F3E78684856A3960412015D1DC5">
    <w:name w:val="C62C4F3E78684856A3960412015D1DC5"/>
    <w:rsid w:val="00063E9A"/>
  </w:style>
  <w:style w:type="paragraph" w:customStyle="1" w:styleId="D9CBF6EF537843029C7923151D8937AF">
    <w:name w:val="D9CBF6EF537843029C7923151D8937AF"/>
    <w:rsid w:val="00063E9A"/>
  </w:style>
  <w:style w:type="paragraph" w:customStyle="1" w:styleId="D5D50E7FEE8143F3824B1A0FEA85A9AB">
    <w:name w:val="D5D50E7FEE8143F3824B1A0FEA85A9AB"/>
    <w:rsid w:val="00063E9A"/>
  </w:style>
  <w:style w:type="paragraph" w:customStyle="1" w:styleId="54C9054259504CF2910BC18DC9E502EC">
    <w:name w:val="54C9054259504CF2910BC18DC9E502EC"/>
    <w:rsid w:val="00063E9A"/>
  </w:style>
  <w:style w:type="paragraph" w:customStyle="1" w:styleId="54A935ACB76248F18682533EB33766B9">
    <w:name w:val="54A935ACB76248F18682533EB33766B9"/>
    <w:rsid w:val="00BC5EC3"/>
  </w:style>
  <w:style w:type="paragraph" w:customStyle="1" w:styleId="03324A9BEC834326A4B8A7A966514F03">
    <w:name w:val="03324A9BEC834326A4B8A7A966514F03"/>
    <w:rsid w:val="00B9281C"/>
  </w:style>
  <w:style w:type="paragraph" w:customStyle="1" w:styleId="D2EDAE97E9324A569F3DCD0614B7778D">
    <w:name w:val="D2EDAE97E9324A569F3DCD0614B7778D"/>
    <w:rsid w:val="00B9281C"/>
  </w:style>
  <w:style w:type="paragraph" w:customStyle="1" w:styleId="0E68252F23204B48A0E1D57FDF81DE2C">
    <w:name w:val="0E68252F23204B48A0E1D57FDF81DE2C"/>
    <w:rsid w:val="001C7E41"/>
  </w:style>
  <w:style w:type="paragraph" w:customStyle="1" w:styleId="948EDF264937401B850B78A1D6B58E60">
    <w:name w:val="948EDF264937401B850B78A1D6B58E60"/>
    <w:rsid w:val="00617F0B"/>
    <w:pPr>
      <w:spacing w:after="160" w:line="259" w:lineRule="auto"/>
    </w:pPr>
  </w:style>
  <w:style w:type="paragraph" w:customStyle="1" w:styleId="C00230EDF92E41D7B2078735403BCF6B">
    <w:name w:val="C00230EDF92E41D7B2078735403BCF6B"/>
    <w:rsid w:val="00617F0B"/>
    <w:pPr>
      <w:spacing w:after="160" w:line="259" w:lineRule="auto"/>
    </w:pPr>
  </w:style>
  <w:style w:type="paragraph" w:customStyle="1" w:styleId="077F3E213F6140F1BE8CC8103E878869">
    <w:name w:val="077F3E213F6140F1BE8CC8103E878869"/>
    <w:rsid w:val="00617F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89EF-451D-410A-AC8F-E6294390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Acer 2</cp:lastModifiedBy>
  <cp:revision>9</cp:revision>
  <cp:lastPrinted>2019-09-04T06:21:00Z</cp:lastPrinted>
  <dcterms:created xsi:type="dcterms:W3CDTF">2019-09-03T11:41:00Z</dcterms:created>
  <dcterms:modified xsi:type="dcterms:W3CDTF">2019-09-04T06:25:00Z</dcterms:modified>
</cp:coreProperties>
</file>